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F745" w14:textId="77777777" w:rsidR="00BA6F6B" w:rsidRDefault="00BA6F6B" w:rsidP="00BA6F6B">
      <w:pPr>
        <w:pStyle w:val="Heading1"/>
        <w:spacing w:before="150" w:beforeAutospacing="0" w:after="225" w:afterAutospacing="0" w:line="240" w:lineRule="atLeast"/>
        <w:textAlignment w:val="baseline"/>
        <w:rPr>
          <w:rFonts w:ascii="Palatino Linotype" w:eastAsia="Times New Roman" w:hAnsi="Palatino Linotype" w:cs="Times New Roman"/>
          <w:b w:val="0"/>
          <w:bCs w:val="0"/>
          <w:color w:val="CD1713"/>
          <w:spacing w:val="-30"/>
          <w:sz w:val="45"/>
          <w:szCs w:val="45"/>
        </w:rPr>
      </w:pPr>
      <w:r>
        <w:rPr>
          <w:rFonts w:ascii="Palatino Linotype" w:eastAsia="Times New Roman" w:hAnsi="Palatino Linotype" w:cs="Times New Roman"/>
          <w:b w:val="0"/>
          <w:bCs w:val="0"/>
          <w:color w:val="CD1713"/>
          <w:spacing w:val="-30"/>
          <w:sz w:val="45"/>
          <w:szCs w:val="45"/>
        </w:rPr>
        <w:t>Revisions to Horse Protection Act Effective February 1, 2025</w:t>
      </w:r>
    </w:p>
    <w:p w14:paraId="36F7DA99" w14:textId="751A424B" w:rsidR="00BA6F6B" w:rsidRDefault="00BA6F6B" w:rsidP="00BA6F6B">
      <w:pPr>
        <w:textAlignment w:val="baseline"/>
        <w:rPr>
          <w:rFonts w:ascii="inherit" w:eastAsia="Times New Roman" w:hAnsi="inherit" w:cs="Arial"/>
          <w:color w:val="999999"/>
          <w:sz w:val="17"/>
          <w:szCs w:val="17"/>
          <w:bdr w:val="none" w:sz="0" w:space="0" w:color="auto" w:frame="1"/>
        </w:rPr>
      </w:pPr>
      <w:r>
        <w:rPr>
          <w:rStyle w:val="ydp7c2f4e57postdate"/>
          <w:rFonts w:ascii="inherit" w:eastAsia="Times New Roman" w:hAnsi="inherit" w:cs="Arial"/>
          <w:color w:val="999999"/>
          <w:sz w:val="17"/>
          <w:szCs w:val="17"/>
          <w:bdr w:val="none" w:sz="0" w:space="0" w:color="auto" w:frame="1"/>
        </w:rPr>
        <w:t>October 30, 2024 | </w:t>
      </w:r>
      <w:r>
        <w:rPr>
          <w:rStyle w:val="ydp7c2f4e57postcat"/>
          <w:rFonts w:ascii="inherit" w:eastAsia="Times New Roman" w:hAnsi="inherit" w:cs="Arial"/>
          <w:color w:val="999999"/>
          <w:sz w:val="17"/>
          <w:szCs w:val="17"/>
          <w:bdr w:val="none" w:sz="0" w:space="0" w:color="auto" w:frame="1"/>
        </w:rPr>
        <w:t>Filed under: </w:t>
      </w:r>
      <w:hyperlink r:id="rId5" w:tgtFrame="_blank" w:history="1">
        <w:r>
          <w:rPr>
            <w:rStyle w:val="Hyperlink"/>
            <w:rFonts w:ascii="inherit" w:eastAsia="Times New Roman" w:hAnsi="inherit" w:cs="Arial"/>
            <w:color w:val="999999"/>
            <w:sz w:val="17"/>
            <w:szCs w:val="17"/>
            <w:bdr w:val="none" w:sz="0" w:space="0" w:color="auto" w:frame="1"/>
          </w:rPr>
          <w:t xml:space="preserve">Breaking </w:t>
        </w:r>
        <w:proofErr w:type="spellStart"/>
        <w:r>
          <w:rPr>
            <w:rStyle w:val="Hyperlink"/>
            <w:rFonts w:ascii="inherit" w:eastAsia="Times New Roman" w:hAnsi="inherit" w:cs="Arial"/>
            <w:color w:val="999999"/>
            <w:sz w:val="17"/>
            <w:szCs w:val="17"/>
            <w:bdr w:val="none" w:sz="0" w:space="0" w:color="auto" w:frame="1"/>
          </w:rPr>
          <w:t>News</w:t>
        </w:r>
      </w:hyperlink>
      <w:r>
        <w:rPr>
          <w:rStyle w:val="ydp7c2f4e57postcat"/>
          <w:rFonts w:ascii="inherit" w:eastAsia="Times New Roman" w:hAnsi="inherit" w:cs="Arial"/>
          <w:color w:val="999999"/>
          <w:sz w:val="17"/>
          <w:szCs w:val="17"/>
          <w:bdr w:val="none" w:sz="0" w:space="0" w:color="auto" w:frame="1"/>
        </w:rPr>
        <w:t>,</w:t>
      </w:r>
      <w:hyperlink r:id="rId6" w:tgtFrame="_blank" w:history="1">
        <w:r>
          <w:rPr>
            <w:rStyle w:val="Hyperlink"/>
            <w:rFonts w:ascii="inherit" w:eastAsia="Times New Roman" w:hAnsi="inherit" w:cs="Arial"/>
            <w:color w:val="999999"/>
            <w:sz w:val="17"/>
            <w:szCs w:val="17"/>
            <w:bdr w:val="none" w:sz="0" w:space="0" w:color="auto" w:frame="1"/>
          </w:rPr>
          <w:t>Community</w:t>
        </w:r>
      </w:hyperlink>
      <w:r>
        <w:rPr>
          <w:rStyle w:val="ydp7c2f4e57postcat"/>
          <w:rFonts w:ascii="inherit" w:eastAsia="Times New Roman" w:hAnsi="inherit" w:cs="Arial"/>
          <w:color w:val="999999"/>
          <w:sz w:val="17"/>
          <w:szCs w:val="17"/>
          <w:bdr w:val="none" w:sz="0" w:space="0" w:color="auto" w:frame="1"/>
        </w:rPr>
        <w:t>,</w:t>
      </w:r>
      <w:hyperlink r:id="rId7" w:tgtFrame="_blank" w:history="1">
        <w:r>
          <w:rPr>
            <w:rStyle w:val="Hyperlink"/>
            <w:rFonts w:ascii="inherit" w:eastAsia="Times New Roman" w:hAnsi="inherit" w:cs="Arial"/>
            <w:color w:val="999999"/>
            <w:sz w:val="17"/>
            <w:szCs w:val="17"/>
            <w:bdr w:val="none" w:sz="0" w:space="0" w:color="auto" w:frame="1"/>
          </w:rPr>
          <w:t>Health</w:t>
        </w:r>
        <w:proofErr w:type="spellEnd"/>
        <w:r>
          <w:rPr>
            <w:rStyle w:val="Hyperlink"/>
            <w:rFonts w:ascii="inherit" w:eastAsia="Times New Roman" w:hAnsi="inherit" w:cs="Arial"/>
            <w:color w:val="999999"/>
            <w:sz w:val="17"/>
            <w:szCs w:val="17"/>
            <w:bdr w:val="none" w:sz="0" w:space="0" w:color="auto" w:frame="1"/>
          </w:rPr>
          <w:t xml:space="preserve"> &amp; Training</w:t>
        </w:r>
      </w:hyperlink>
      <w:r>
        <w:rPr>
          <w:rStyle w:val="ydp7c2f4e57postcat"/>
          <w:rFonts w:ascii="inherit" w:eastAsia="Times New Roman" w:hAnsi="inherit" w:cs="Arial"/>
          <w:color w:val="999999"/>
          <w:sz w:val="17"/>
          <w:szCs w:val="17"/>
          <w:bdr w:val="none" w:sz="0" w:space="0" w:color="auto" w:frame="1"/>
        </w:rPr>
        <w:t> | </w:t>
      </w:r>
      <w:r>
        <w:rPr>
          <w:rStyle w:val="ydp7c2f4e57postauthor"/>
          <w:rFonts w:ascii="inherit" w:eastAsia="Times New Roman" w:hAnsi="inherit" w:cs="Arial"/>
          <w:color w:val="999999"/>
          <w:sz w:val="17"/>
          <w:szCs w:val="17"/>
          <w:bdr w:val="none" w:sz="0" w:space="0" w:color="auto" w:frame="1"/>
        </w:rPr>
        <w:t>Posted by: </w:t>
      </w:r>
      <w:hyperlink r:id="rId8" w:tgtFrame="_blank" w:tooltip="Posts by Delores Kuhlwein" w:history="1">
        <w:r>
          <w:rPr>
            <w:rStyle w:val="Hyperlink"/>
            <w:rFonts w:ascii="inherit" w:eastAsia="Times New Roman" w:hAnsi="inherit" w:cs="Arial"/>
            <w:color w:val="999999"/>
            <w:sz w:val="17"/>
            <w:szCs w:val="17"/>
            <w:bdr w:val="none" w:sz="0" w:space="0" w:color="auto" w:frame="1"/>
          </w:rPr>
          <w:t xml:space="preserve">Delores </w:t>
        </w:r>
        <w:proofErr w:type="spellStart"/>
        <w:r>
          <w:rPr>
            <w:rStyle w:val="Hyperlink"/>
            <w:rFonts w:ascii="inherit" w:eastAsia="Times New Roman" w:hAnsi="inherit" w:cs="Arial"/>
            <w:color w:val="999999"/>
            <w:sz w:val="17"/>
            <w:szCs w:val="17"/>
            <w:bdr w:val="none" w:sz="0" w:space="0" w:color="auto" w:frame="1"/>
          </w:rPr>
          <w:t>Kuhlwein</w:t>
        </w:r>
        <w:proofErr w:type="spellEnd"/>
      </w:hyperlink>
      <w:r>
        <w:rPr>
          <w:rFonts w:ascii="Arial" w:eastAsia="Times New Roman" w:hAnsi="Arial" w:cs="Arial"/>
          <w:color w:val="999999"/>
          <w:sz w:val="17"/>
          <w:szCs w:val="17"/>
        </w:rPr>
        <w:t> </w:t>
      </w:r>
      <w:r>
        <w:rPr>
          <w:rFonts w:ascii="inherit" w:eastAsia="Times New Roman" w:hAnsi="inherit" w:cs="Arial"/>
          <w:color w:val="999999"/>
          <w:sz w:val="17"/>
          <w:szCs w:val="17"/>
          <w:bdr w:val="none" w:sz="0" w:space="0" w:color="auto" w:frame="1"/>
        </w:rPr>
        <w:t>    </w:t>
      </w:r>
      <w:r>
        <w:rPr>
          <w:rFonts w:ascii="Arial" w:eastAsia="Times New Roman" w:hAnsi="Arial" w:cs="Arial"/>
          <w:color w:val="999999"/>
          <w:sz w:val="17"/>
          <w:szCs w:val="17"/>
        </w:rPr>
        <w:t> </w:t>
      </w:r>
      <w:r>
        <w:rPr>
          <w:rFonts w:ascii="inherit" w:eastAsia="Times New Roman" w:hAnsi="inherit" w:cs="Arial"/>
          <w:noProof/>
          <w:color w:val="999999"/>
          <w:sz w:val="17"/>
          <w:szCs w:val="17"/>
          <w:bdr w:val="none" w:sz="0" w:space="0" w:color="auto" w:frame="1"/>
        </w:rPr>
        <w:drawing>
          <wp:inline distT="0" distB="0" distL="0" distR="0" wp14:anchorId="3AF4ADE8" wp14:editId="6658BB67">
            <wp:extent cx="245745" cy="198755"/>
            <wp:effectExtent l="0" t="0" r="1905" b="0"/>
            <wp:docPr id="272131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 cy="198755"/>
                    </a:xfrm>
                    <a:prstGeom prst="rect">
                      <a:avLst/>
                    </a:prstGeom>
                    <a:noFill/>
                    <a:ln>
                      <a:noFill/>
                    </a:ln>
                  </pic:spPr>
                </pic:pic>
              </a:graphicData>
            </a:graphic>
          </wp:inline>
        </w:drawing>
      </w:r>
    </w:p>
    <w:p w14:paraId="5D89F2D3" w14:textId="4AB4389D" w:rsidR="00BA6F6B" w:rsidRDefault="00BA6F6B" w:rsidP="00BA6F6B">
      <w:pPr>
        <w:spacing w:line="0" w:lineRule="auto"/>
        <w:jc w:val="center"/>
        <w:textAlignment w:val="baseline"/>
        <w:rPr>
          <w:rFonts w:ascii="Arial" w:eastAsia="Times New Roman" w:hAnsi="Arial" w:cs="Arial"/>
          <w:color w:val="333333"/>
          <w:sz w:val="21"/>
          <w:szCs w:val="21"/>
        </w:rPr>
      </w:pPr>
      <w:r>
        <w:rPr>
          <w:rFonts w:ascii="inherit" w:eastAsia="Times New Roman" w:hAnsi="inherit" w:cs="Arial"/>
          <w:noProof/>
          <w:color w:val="CD1713"/>
          <w:sz w:val="21"/>
          <w:szCs w:val="21"/>
          <w:bdr w:val="none" w:sz="0" w:space="0" w:color="auto" w:frame="1"/>
        </w:rPr>
        <w:drawing>
          <wp:inline distT="0" distB="0" distL="0" distR="0" wp14:anchorId="57C066A3" wp14:editId="7561F9AC">
            <wp:extent cx="5715000" cy="3221355"/>
            <wp:effectExtent l="0" t="0" r="0" b="0"/>
            <wp:docPr id="1052551637" name="Picture 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21355"/>
                    </a:xfrm>
                    <a:prstGeom prst="rect">
                      <a:avLst/>
                    </a:prstGeom>
                    <a:noFill/>
                    <a:ln>
                      <a:noFill/>
                    </a:ln>
                  </pic:spPr>
                </pic:pic>
              </a:graphicData>
            </a:graphic>
          </wp:inline>
        </w:drawing>
      </w:r>
    </w:p>
    <w:p w14:paraId="1035814A" w14:textId="77777777" w:rsidR="00BA6F6B" w:rsidRDefault="00BA6F6B" w:rsidP="00BA6F6B">
      <w:pPr>
        <w:pStyle w:val="ydp7c2f4e57wp-caption-text"/>
        <w:spacing w:before="75" w:beforeAutospacing="0" w:after="75" w:afterAutospacing="0"/>
        <w:ind w:left="75" w:right="75"/>
        <w:jc w:val="center"/>
        <w:textAlignment w:val="baseline"/>
        <w:rPr>
          <w:rFonts w:ascii="Verdana" w:hAnsi="Verdana" w:cs="Arial"/>
          <w:color w:val="888888"/>
          <w:sz w:val="18"/>
          <w:szCs w:val="18"/>
        </w:rPr>
      </w:pPr>
      <w:r>
        <w:rPr>
          <w:rFonts w:ascii="Verdana" w:hAnsi="Verdana" w:cs="Arial"/>
          <w:color w:val="888888"/>
          <w:sz w:val="18"/>
          <w:szCs w:val="18"/>
        </w:rPr>
        <w:t>Photo credit: APHIS</w:t>
      </w:r>
    </w:p>
    <w:p w14:paraId="6FADB84A"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The </w:t>
      </w:r>
      <w:hyperlink r:id="rId12" w:tgtFrame="_blank" w:history="1">
        <w:r>
          <w:rPr>
            <w:rStyle w:val="Hyperlink"/>
            <w:rFonts w:ascii="inherit" w:hAnsi="inherit" w:cs="Arial"/>
            <w:color w:val="CD1713"/>
            <w:sz w:val="21"/>
            <w:szCs w:val="21"/>
            <w:bdr w:val="none" w:sz="0" w:space="0" w:color="auto" w:frame="1"/>
          </w:rPr>
          <w:t>American Horse Council</w:t>
        </w:r>
      </w:hyperlink>
      <w:r>
        <w:rPr>
          <w:rFonts w:ascii="Arial" w:hAnsi="Arial" w:cs="Arial"/>
          <w:color w:val="333333"/>
          <w:sz w:val="21"/>
          <w:szCs w:val="21"/>
        </w:rPr>
        <w:t> (AHC) is releasing this advisory to inform the industry of important changes to the Horse Protection Act (HPA). Background on the HPA can be found at </w:t>
      </w:r>
      <w:hyperlink r:id="rId13" w:tgtFrame="_blank" w:history="1">
        <w:r>
          <w:rPr>
            <w:rStyle w:val="Hyperlink"/>
            <w:rFonts w:ascii="inherit" w:hAnsi="inherit" w:cs="Arial"/>
            <w:color w:val="CD1713"/>
            <w:sz w:val="21"/>
            <w:szCs w:val="21"/>
            <w:bdr w:val="none" w:sz="0" w:space="0" w:color="auto" w:frame="1"/>
          </w:rPr>
          <w:t>https://www.aphis.usda.gov/hpa</w:t>
        </w:r>
      </w:hyperlink>
      <w:r>
        <w:rPr>
          <w:rFonts w:ascii="Arial" w:hAnsi="Arial" w:cs="Arial"/>
          <w:color w:val="333333"/>
          <w:sz w:val="21"/>
          <w:szCs w:val="21"/>
        </w:rPr>
        <w:t> .</w:t>
      </w:r>
    </w:p>
    <w:p w14:paraId="7683E8DD"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As a general reminder</w:t>
      </w:r>
      <w:r>
        <w:rPr>
          <w:rStyle w:val="Emphasis"/>
          <w:rFonts w:ascii="Arial" w:hAnsi="Arial" w:cs="Arial"/>
          <w:b/>
          <w:bCs/>
          <w:color w:val="333333"/>
          <w:sz w:val="21"/>
          <w:szCs w:val="21"/>
        </w:rPr>
        <w:t>,</w:t>
      </w:r>
      <w:r>
        <w:rPr>
          <w:rFonts w:ascii="Arial" w:hAnsi="Arial" w:cs="Arial"/>
          <w:color w:val="333333"/>
          <w:sz w:val="21"/>
          <w:szCs w:val="21"/>
        </w:rPr>
        <w:t> the HPA covers all equine breeds and disciplines to eliminate the practice of soring horses.  The AHC and other industry stakeholders have engaged in numerous meetings with the United States Department of Agriculture’s Animal &amp; Plant Health Inspection Service (USDA APHIS) to obtain clarifications and details on the new revisions to the HPA Rule.</w:t>
      </w:r>
    </w:p>
    <w:p w14:paraId="3D895B66"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New requirements Effective February 1, 2025: Horse show and event managers will be required to:</w:t>
      </w:r>
    </w:p>
    <w:p w14:paraId="59842E4C" w14:textId="77777777" w:rsidR="00BA6F6B" w:rsidRDefault="00BA6F6B" w:rsidP="00BA6F6B">
      <w:pPr>
        <w:numPr>
          <w:ilvl w:val="0"/>
          <w:numId w:val="1"/>
        </w:numPr>
        <w:spacing w:line="300" w:lineRule="atLeast"/>
        <w:textAlignment w:val="baseline"/>
        <w:rPr>
          <w:rFonts w:ascii="inherit" w:eastAsia="Times New Roman" w:hAnsi="inherit" w:cs="Arial"/>
          <w:color w:val="4C4C4C"/>
          <w:sz w:val="18"/>
          <w:szCs w:val="18"/>
        </w:rPr>
      </w:pPr>
      <w:r>
        <w:rPr>
          <w:rFonts w:ascii="inherit" w:eastAsia="Times New Roman" w:hAnsi="inherit" w:cs="Arial"/>
          <w:color w:val="4C4C4C"/>
          <w:sz w:val="18"/>
          <w:szCs w:val="18"/>
        </w:rPr>
        <w:t>Provide notice to APHIS at least 30 days in advance of the event via mail or email.</w:t>
      </w:r>
    </w:p>
    <w:p w14:paraId="3EF0F612" w14:textId="77777777" w:rsidR="00BA6F6B" w:rsidRDefault="00BA6F6B" w:rsidP="00BA6F6B">
      <w:pPr>
        <w:numPr>
          <w:ilvl w:val="0"/>
          <w:numId w:val="1"/>
        </w:numPr>
        <w:spacing w:line="300" w:lineRule="atLeast"/>
        <w:textAlignment w:val="baseline"/>
        <w:rPr>
          <w:rFonts w:ascii="inherit" w:eastAsia="Times New Roman" w:hAnsi="inherit" w:cs="Arial"/>
          <w:color w:val="4C4C4C"/>
          <w:sz w:val="18"/>
          <w:szCs w:val="18"/>
        </w:rPr>
      </w:pPr>
      <w:r>
        <w:rPr>
          <w:rFonts w:ascii="inherit" w:eastAsia="Times New Roman" w:hAnsi="inherit" w:cs="Arial"/>
          <w:color w:val="4C4C4C"/>
          <w:sz w:val="18"/>
          <w:szCs w:val="18"/>
        </w:rPr>
        <w:t xml:space="preserve">Provide any event updates 15 days in advance of the </w:t>
      </w:r>
      <w:proofErr w:type="gramStart"/>
      <w:r>
        <w:rPr>
          <w:rFonts w:ascii="inherit" w:eastAsia="Times New Roman" w:hAnsi="inherit" w:cs="Arial"/>
          <w:color w:val="4C4C4C"/>
          <w:sz w:val="18"/>
          <w:szCs w:val="18"/>
        </w:rPr>
        <w:t>event</w:t>
      </w:r>
      <w:proofErr w:type="gramEnd"/>
    </w:p>
    <w:p w14:paraId="3D1CEFEC" w14:textId="77777777" w:rsidR="00BA6F6B" w:rsidRDefault="00BA6F6B" w:rsidP="00BA6F6B">
      <w:pPr>
        <w:numPr>
          <w:ilvl w:val="0"/>
          <w:numId w:val="1"/>
        </w:numPr>
        <w:spacing w:line="300" w:lineRule="atLeast"/>
        <w:textAlignment w:val="baseline"/>
        <w:rPr>
          <w:rFonts w:ascii="inherit" w:eastAsia="Times New Roman" w:hAnsi="inherit" w:cs="Arial"/>
          <w:color w:val="4C4C4C"/>
          <w:sz w:val="18"/>
          <w:szCs w:val="18"/>
        </w:rPr>
      </w:pPr>
      <w:r>
        <w:rPr>
          <w:rFonts w:ascii="inherit" w:eastAsia="Times New Roman" w:hAnsi="inherit" w:cs="Arial"/>
          <w:color w:val="4C4C4C"/>
          <w:sz w:val="18"/>
          <w:szCs w:val="18"/>
        </w:rPr>
        <w:t xml:space="preserve">Report any violations of the horse protection act within 5 days post </w:t>
      </w:r>
      <w:proofErr w:type="gramStart"/>
      <w:r>
        <w:rPr>
          <w:rFonts w:ascii="inherit" w:eastAsia="Times New Roman" w:hAnsi="inherit" w:cs="Arial"/>
          <w:color w:val="4C4C4C"/>
          <w:sz w:val="18"/>
          <w:szCs w:val="18"/>
        </w:rPr>
        <w:t>event</w:t>
      </w:r>
      <w:proofErr w:type="gramEnd"/>
    </w:p>
    <w:p w14:paraId="1A2D1358"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Note, the new rule defines horse show as a public display of any horses in competition except where speed is the prime factor, rodeo events, parades, or trail rides.</w:t>
      </w:r>
    </w:p>
    <w:p w14:paraId="4E4BCBF1"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One of the key changes to the rule is that USDA will be responsible for training Horse Protection Inspectors which will be licensed veterinarians or individuals with extensive equine experience with a governmental agency. These will be the individuals performing inspections at events. A video of the inspection process is on the website. Historically, USDA has inspected fewer than 50 events nationally per year.</w:t>
      </w:r>
    </w:p>
    <w:p w14:paraId="4CDBC680"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All event managers should be prepared for potential USDA inspectors onsite. It is important to note that horse show managers are liable for any HPA violations found at their show if they choose not to hire an inspector.</w:t>
      </w:r>
    </w:p>
    <w:p w14:paraId="265AF032"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USDA has notified AHC that new guidance documents and further information will be posted to the Horse Protection Act Website at </w:t>
      </w:r>
      <w:hyperlink r:id="rId14" w:history="1">
        <w:r>
          <w:rPr>
            <w:rStyle w:val="Hyperlink"/>
            <w:rFonts w:ascii="Arial" w:hAnsi="Arial" w:cs="Arial"/>
            <w:sz w:val="21"/>
            <w:szCs w:val="21"/>
          </w:rPr>
          <w:t>https://www.aphis.usda.gov/hpa</w:t>
        </w:r>
      </w:hyperlink>
      <w:r>
        <w:rPr>
          <w:rFonts w:ascii="Arial" w:hAnsi="Arial" w:cs="Arial"/>
          <w:color w:val="333333"/>
          <w:sz w:val="21"/>
          <w:szCs w:val="21"/>
        </w:rPr>
        <w:t xml:space="preserve">. At this time, AHC does not know a </w:t>
      </w:r>
      <w:r>
        <w:rPr>
          <w:rFonts w:ascii="Arial" w:hAnsi="Arial" w:cs="Arial"/>
          <w:color w:val="333333"/>
          <w:sz w:val="21"/>
          <w:szCs w:val="21"/>
        </w:rPr>
        <w:lastRenderedPageBreak/>
        <w:t>timeline for when additional USDA guidance resources will be available. Individuals with questions regarding revisions to the HPA are encouraged to email </w:t>
      </w:r>
      <w:hyperlink r:id="rId15" w:tgtFrame="_blank" w:history="1">
        <w:r>
          <w:rPr>
            <w:rStyle w:val="Hyperlink"/>
            <w:rFonts w:ascii="inherit" w:hAnsi="inherit" w:cs="Arial"/>
            <w:color w:val="CD1713"/>
            <w:sz w:val="21"/>
            <w:szCs w:val="21"/>
            <w:bdr w:val="none" w:sz="0" w:space="0" w:color="auto" w:frame="1"/>
          </w:rPr>
          <w:t>horseprotection@usda.gov</w:t>
        </w:r>
      </w:hyperlink>
      <w:r>
        <w:rPr>
          <w:rFonts w:ascii="Arial" w:hAnsi="Arial" w:cs="Arial"/>
          <w:color w:val="333333"/>
          <w:sz w:val="21"/>
          <w:szCs w:val="21"/>
        </w:rPr>
        <w:t> and </w:t>
      </w:r>
      <w:hyperlink r:id="rId16" w:tgtFrame="_blank" w:history="1">
        <w:r>
          <w:rPr>
            <w:rStyle w:val="Hyperlink"/>
            <w:rFonts w:ascii="inherit" w:hAnsi="inherit" w:cs="Arial"/>
            <w:color w:val="CD1713"/>
            <w:sz w:val="21"/>
            <w:szCs w:val="21"/>
            <w:bdr w:val="none" w:sz="0" w:space="0" w:color="auto" w:frame="1"/>
          </w:rPr>
          <w:t>info@horsecouncil.org</w:t>
        </w:r>
      </w:hyperlink>
      <w:r>
        <w:rPr>
          <w:rFonts w:ascii="Arial" w:hAnsi="Arial" w:cs="Arial"/>
          <w:color w:val="333333"/>
          <w:sz w:val="21"/>
          <w:szCs w:val="21"/>
        </w:rPr>
        <w:t> with the subject line “HPA Question”. This will ensure AHC stays informed and can follow-up on questions/answers.</w:t>
      </w:r>
    </w:p>
    <w:p w14:paraId="09BD83E3" w14:textId="77777777" w:rsidR="00BA6F6B" w:rsidRDefault="00BA6F6B" w:rsidP="00BA6F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2E4E64">
          <v:rect id="_x0000_i1027" style="width:468pt;height:.65pt" o:hralign="center" o:hrstd="t" o:hrnoshade="t" o:hr="t" fillcolor="#333" stroked="f"/>
        </w:pict>
      </w:r>
    </w:p>
    <w:p w14:paraId="46794726"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Event Manager Responsibilities from the </w:t>
      </w:r>
      <w:hyperlink r:id="rId17" w:tgtFrame="_blank" w:history="1">
        <w:r>
          <w:rPr>
            <w:rStyle w:val="Hyperlink"/>
            <w:rFonts w:ascii="inherit" w:hAnsi="inherit" w:cs="Arial"/>
            <w:color w:val="CD1713"/>
            <w:sz w:val="21"/>
            <w:szCs w:val="21"/>
            <w:bdr w:val="none" w:sz="0" w:space="0" w:color="auto" w:frame="1"/>
          </w:rPr>
          <w:t>APHIS website</w:t>
        </w:r>
      </w:hyperlink>
      <w:r>
        <w:rPr>
          <w:rFonts w:ascii="Arial" w:hAnsi="Arial" w:cs="Arial"/>
          <w:color w:val="333333"/>
          <w:sz w:val="21"/>
          <w:szCs w:val="21"/>
        </w:rPr>
        <w:t>:</w:t>
      </w:r>
    </w:p>
    <w:p w14:paraId="35AB52AC"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When the new Horse Protection Final Rule becomes effective on February 1, 2025, event managers of all horse shows, horse exhibitions, horse sales, and horse auctions will need to notify APHIS at least 30 days in advance of their event, either by mail (see mailing address below) or emailing </w:t>
      </w:r>
      <w:hyperlink r:id="rId18" w:tgtFrame="_blank" w:history="1">
        <w:r>
          <w:rPr>
            <w:rStyle w:val="Hyperlink"/>
            <w:rFonts w:ascii="inherit" w:hAnsi="inherit" w:cs="Arial"/>
            <w:color w:val="CD1713"/>
            <w:sz w:val="21"/>
            <w:szCs w:val="21"/>
            <w:bdr w:val="none" w:sz="0" w:space="0" w:color="auto" w:frame="1"/>
          </w:rPr>
          <w:t>horseprotection@usda.gov</w:t>
        </w:r>
      </w:hyperlink>
      <w:r>
        <w:rPr>
          <w:rFonts w:ascii="Arial" w:hAnsi="Arial" w:cs="Arial"/>
          <w:color w:val="333333"/>
          <w:sz w:val="21"/>
          <w:szCs w:val="21"/>
        </w:rPr>
        <w:t>. The notification must include whether event management has appointed an HPI to conduct inspections, is requesting an APHIS VMO to conduct inspections, or if event management is opting for neither (while appointing an HPI or requesting an APHIS VMO is not required, event management will be liable for any horse that was shown, exhibited, auctioned, or sold while sore).</w:t>
      </w:r>
    </w:p>
    <w:p w14:paraId="088F7079" w14:textId="77777777" w:rsidR="00BA6F6B" w:rsidRDefault="00BA6F6B" w:rsidP="00BA6F6B">
      <w:pPr>
        <w:pStyle w:val="NormalWeb"/>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For any events that have Tennessee Walking Horses or racking horses, there is additional information that needs to be submitted to APHIS within 5 days following the conclusion of any horse show, exhibition, sale, or auction.</w:t>
      </w:r>
    </w:p>
    <w:p w14:paraId="01DA7939" w14:textId="77777777" w:rsidR="00BA6F6B" w:rsidRDefault="00BA6F6B" w:rsidP="00BA6F6B">
      <w:pPr>
        <w:textAlignment w:val="baseline"/>
        <w:rPr>
          <w:rFonts w:ascii="Arial" w:eastAsia="Times New Roman" w:hAnsi="Arial" w:cs="Arial"/>
          <w:color w:val="333333"/>
          <w:sz w:val="21"/>
          <w:szCs w:val="21"/>
        </w:rPr>
      </w:pPr>
      <w:r>
        <w:rPr>
          <w:rFonts w:ascii="Arial" w:eastAsia="Times New Roman" w:hAnsi="Arial" w:cs="Arial"/>
          <w:color w:val="333333"/>
          <w:sz w:val="21"/>
          <w:szCs w:val="21"/>
        </w:rPr>
        <w:t xml:space="preserve">For any event which does not include Tennessee Walking Horses or racking horses, event management will need to submit information regarding any case where a horse was prohibited by management from being shown, exhibited, </w:t>
      </w:r>
      <w:proofErr w:type="gramStart"/>
      <w:r>
        <w:rPr>
          <w:rFonts w:ascii="Arial" w:eastAsia="Times New Roman" w:hAnsi="Arial" w:cs="Arial"/>
          <w:color w:val="333333"/>
          <w:sz w:val="21"/>
          <w:szCs w:val="21"/>
        </w:rPr>
        <w:t>sold</w:t>
      </w:r>
      <w:proofErr w:type="gramEnd"/>
      <w:r>
        <w:rPr>
          <w:rFonts w:ascii="Arial" w:eastAsia="Times New Roman" w:hAnsi="Arial" w:cs="Arial"/>
          <w:color w:val="333333"/>
          <w:sz w:val="21"/>
          <w:szCs w:val="21"/>
        </w:rPr>
        <w:t xml:space="preserve"> or auctioned because it was found to be sore or otherwise in violation of the Act or regulations.</w:t>
      </w:r>
    </w:p>
    <w:p w14:paraId="35693A14" w14:textId="77777777" w:rsidR="00BA6F6B" w:rsidRDefault="00BA6F6B" w:rsidP="00BA6F6B">
      <w:pPr>
        <w:rPr>
          <w:rFonts w:ascii="Times New Roman" w:eastAsia="Times New Roman" w:hAnsi="Times New Roman" w:cs="Times New Roman"/>
          <w:sz w:val="24"/>
          <w:szCs w:val="24"/>
        </w:rPr>
      </w:pPr>
    </w:p>
    <w:p w14:paraId="0092EADC" w14:textId="77777777" w:rsidR="00BA6F6B" w:rsidRDefault="00BA6F6B"/>
    <w:sectPr w:rsidR="00BA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1F3"/>
    <w:multiLevelType w:val="multilevel"/>
    <w:tmpl w:val="EA88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8177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6B"/>
    <w:rsid w:val="00BA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572"/>
  <w15:chartTrackingRefBased/>
  <w15:docId w15:val="{C2A044AE-E860-45AB-80CC-206DAD49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6B"/>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A6F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F6B"/>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BA6F6B"/>
    <w:rPr>
      <w:color w:val="0000FF"/>
      <w:u w:val="single"/>
    </w:rPr>
  </w:style>
  <w:style w:type="paragraph" w:styleId="NormalWeb">
    <w:name w:val="Normal (Web)"/>
    <w:basedOn w:val="Normal"/>
    <w:uiPriority w:val="99"/>
    <w:semiHidden/>
    <w:unhideWhenUsed/>
    <w:rsid w:val="00BA6F6B"/>
    <w:pPr>
      <w:spacing w:before="100" w:beforeAutospacing="1" w:after="100" w:afterAutospacing="1"/>
    </w:pPr>
  </w:style>
  <w:style w:type="paragraph" w:customStyle="1" w:styleId="ydp7c2f4e57wp-caption-text">
    <w:name w:val="ydp7c2f4e57wp-caption-text"/>
    <w:basedOn w:val="Normal"/>
    <w:uiPriority w:val="99"/>
    <w:semiHidden/>
    <w:rsid w:val="00BA6F6B"/>
    <w:pPr>
      <w:spacing w:before="100" w:beforeAutospacing="1" w:after="100" w:afterAutospacing="1"/>
    </w:pPr>
  </w:style>
  <w:style w:type="character" w:customStyle="1" w:styleId="ydp7c2f4e57postdate">
    <w:name w:val="ydp7c2f4e57postdate"/>
    <w:basedOn w:val="DefaultParagraphFont"/>
    <w:rsid w:val="00BA6F6B"/>
  </w:style>
  <w:style w:type="character" w:customStyle="1" w:styleId="ydp7c2f4e57postcat">
    <w:name w:val="ydp7c2f4e57postcat"/>
    <w:basedOn w:val="DefaultParagraphFont"/>
    <w:rsid w:val="00BA6F6B"/>
  </w:style>
  <w:style w:type="character" w:customStyle="1" w:styleId="ydp7c2f4e57postauthor">
    <w:name w:val="ydp7c2f4e57postauthor"/>
    <w:basedOn w:val="DefaultParagraphFont"/>
    <w:rsid w:val="00BA6F6B"/>
  </w:style>
  <w:style w:type="character" w:styleId="Emphasis">
    <w:name w:val="Emphasis"/>
    <w:basedOn w:val="DefaultParagraphFont"/>
    <w:uiPriority w:val="20"/>
    <w:qFormat/>
    <w:rsid w:val="00BA6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dhTxMz-zUg-IsmGIGr9EVgsiSuAWPFhRtSsFNKeRMWk49l0hs3ZuYWx2Xs1RFcThhg28IAC96u_sOOpO_mZJCJhGSEmzZCaw_m3FetpeKSE6UC1qWttq-ApG3t7JQMImGRpDDQsSizg8DixLKCvg3340a0K0AsEoCkamKyPVvXl1QZO5mpr-9CLO5_VzMvyuELiAM-zancsjgfBJjCGOjxlrOwpLGHw9dQut2Nw64J5-FAxZ-c3DRvzZnup8z_xBpdiERttBfOV4by-Hzp9Vo1buOz6qYWxhOR5QSOT4Nqz7CEcppB9afibIp582xrKROLQvzHK0ZaEq7CKBHiu2UhO0rNLqlvvft8hqjulxQy--7ag_FUVC8H-GJEh3LjllYh8q1iMFrKQSqhA0EmCxcWRONemmZuC_SQ3dJzMYQ_0/https%3A%2F%2Fwww.equinechronicle.com%2Fauthor%2Fdelores%2F" TargetMode="External"/><Relationship Id="rId13" Type="http://schemas.openxmlformats.org/officeDocument/2006/relationships/hyperlink" Target="https://www.aphis.usda.gov/hpa" TargetMode="External"/><Relationship Id="rId18" Type="http://schemas.openxmlformats.org/officeDocument/2006/relationships/hyperlink" Target="mailto:horseprotection@usda.gov" TargetMode="External"/><Relationship Id="rId3" Type="http://schemas.openxmlformats.org/officeDocument/2006/relationships/settings" Target="settings.xml"/><Relationship Id="rId7" Type="http://schemas.openxmlformats.org/officeDocument/2006/relationships/hyperlink" Target="https://secure-web.cisco.com/1gHfiLkNWE6VBDvr5-hWtL1Jkrda7oHZUfkj361AL_GjzYKLF3SAxvgyyCcV257Zaahos9pV84aqmi-lFNCPCZiuxFEtEAnIdwLPzO4oTKVk4-wmLn45sR4UoD74IXsqgZTJgKJDKiUkELECyPnDY1bltcn5SAnAPe3r4GgJBl-PXFB7ewMZ7szugRYQ0-j6BFhkkSsD3ts0iiRQanojZCFJ_aj9DI-gysQ9IaRmzIvjSx37vNqT5fqE1Bv8IhF4WrnlY-9dzzBPwrdjBzdabs5jRORsLGyydX8KWB0oRH1y5XIWDz0-EzUSw2qVJ2sQ194t5ZTvtxTUkrlL3xsMx4ju_ReSOjjVPJIamznMF1SEdghznEItI0GTU1IAreFaYWM30hN4eSJJyuNLwvwCxoKVepNa7hBVCnYyLQSIUxNk/https%3A%2F%2Fwww.equinechronicle.com%2Fcategory%2Fhealth-training%2F" TargetMode="External"/><Relationship Id="rId12" Type="http://schemas.openxmlformats.org/officeDocument/2006/relationships/hyperlink" Target="https://secure-web.cisco.com/1fuJiHFmvq1yeEAlmhuDqr6eWKL-TFcEJt6qHkY0-k_OrWHhKnthvt7JBZVgu2X8M-F0L0N6xgaUzYaDKmCLdKRiclHncvy8AM2ivh9vcK8N71QHjq2IlG6LMCjVODNAA6fT2v6J0OQJ6giik-EivWeF2D8AagtsRqEVzCM9GTAXyti4F5_IeyBZIZtu2lcQAd8BpQbVBL9YbVfylksklc8hggAoT_FUeqFya5rz3jJ6JDHLutGJ8Ehuuy-XxNaLlGkmJPuo5tZs0NQuF7OiimIguO8GtOnf_tki4il6P0NAYUKoflS_zeK3IZsGaN-BRYw2FRr275rNiCz4b79D2kqG0O-kreZhYtw12nJj9r4HJlClDzKtrb-dW34IFF0UZrE61kOhOsTzyumo7jOl756hk8zYnE8qZCUMG4oyojfo/https%3A%2F%2Fhorsecouncil.org%2F" TargetMode="External"/><Relationship Id="rId17" Type="http://schemas.openxmlformats.org/officeDocument/2006/relationships/hyperlink" Target="https://www.aphis.usda.gov/hpa" TargetMode="External"/><Relationship Id="rId2" Type="http://schemas.openxmlformats.org/officeDocument/2006/relationships/styles" Target="styles.xml"/><Relationship Id="rId16" Type="http://schemas.openxmlformats.org/officeDocument/2006/relationships/hyperlink" Target="mailto:info@horsecounci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cure-web.cisco.com/1cY-HRhMPbghqLTmMjsnuRHY8-DJ2n4EU3G4bmipjKV5blwwXUXe0J2kQ_wSWbHFi1_gUkXFk2AC-t_Ww-_Szj772neeSGUr2e6hQRjFoeVb9tcHTBekXbTM7dRQ2AEBkkkIkSFHyCccbakWs7WpqIZYl4sA4gTtizQR8HUDHKOAHo9i9lkHjA4A3_nRlePEZQgV-QZRSVRaI-KouVgnzZpChspWJYFlfl5suWNNQVDoz2FuoiDOU7Wrd23x6SBbi8n52Kj9NcXHImpuzqHqPxN5t_u1Xu9R3Jji4zUf-9OQZjnkbrwNbS-Ega3T527JNTDLsExZPr4Iqy5MPkylcDWJYyPFMaQnBSzKIF2uukBS46pXjWANJmmelZRJy_T1tCnY5phVwCPx2m0CV-2dLgUmEOxs73ZI4vtMV0DgFgYI/https%3A%2F%2Fwww.equinechronicle.com%2Fcategory%2Fcommunity%2F" TargetMode="External"/><Relationship Id="rId11" Type="http://schemas.openxmlformats.org/officeDocument/2006/relationships/image" Target="media/image2.jpeg"/><Relationship Id="rId5" Type="http://schemas.openxmlformats.org/officeDocument/2006/relationships/hyperlink" Target="https://secure-web.cisco.com/1NqT7woQE_-CX5LC_1mA88Osb9PSi9LFrp8QKAXQG-afm8KR5ntRM8-Z4CqRXAk7oDjCrurB66zVk7nPAEovihK7GrzQW9SCJo7kBnSER7hkySYfe-Q9D83xHQnqZPfTzydznNZh6g_pZ3Y5hUj_Vj2kgJFqWB1-ov9Wfx4P7lJrY_vY7TL3vDEuObQIS78FvMzesNpVaUgBTSdyhZUbNWfHSYxgUinQ7EOmsK_fB6r8FWL1UDWy95Eq8LSdo9I841IbI1BQYelk2DxrEVU6XkzH5g4kpeBEJbWDAA_Rwl12Iu7JeXnTt-4uiG8M2zEXoYSRzDXVTVYg8TIazWkfRlxkL_39YyOFPjuhxQPDXloBQXzV4kSB5aUA3QSCgaZ0pRDI1CPpM1wZJidxShh4dWHl0uhbvWBAKcGRJG5XXyc4/https%3A%2F%2Fwww.equinechronicle.com%2Fcategory%2Fbreaking-news%2F" TargetMode="External"/><Relationship Id="rId15" Type="http://schemas.openxmlformats.org/officeDocument/2006/relationships/hyperlink" Target="mailto:horseprotection@usda.gov" TargetMode="External"/><Relationship Id="rId10" Type="http://schemas.openxmlformats.org/officeDocument/2006/relationships/hyperlink" Target="http://secure-web.cisco.com/1xqDXvg6IfOc952__Ew6TbSVWss9EGLx3_90ZQsOM7V1dtfsN-OTEbp4PwyguC_Tpt02Na1pPBV24Pqf1pZOwgWehAXVUAJJ0lxBZZvI0RpNK95ccApTZSLscp0zLMkN0Hr6pWqewxdS-bBLXgPtWJbIHhJl4Rw8b7a_CRGvWO--MxGrAPXugjzyYoYbEWNhWIRVJuaTQ4GWogtAVtOtQnFQpf7Hm63qMy9d47Dm1t5u4onA-7Ps7Qdyk5PNtcnJg1_32sPH2RW3_SwqWPsPiyEkJZIHixTYLsJy3Isxdv-6PHMGz4uSRWxhLONOnvX233SpIRl61aKAA2YALi3XQff_hEv2mfq2H_uD4OqwY8BwEvmkDsyCQNxH4mOimsSv_0PkhkXTOS3dHxuhHpq1iMg8TjE2lIdIDY5wsw6lZnPs/http%3A%2F%2Fwww.equinechronicle.com%2Fwp-content%2Fuploads%2F2024%2F10%2Fhorse-protection.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phis.usda.gov/h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Jeannette M.</dc:creator>
  <cp:keywords/>
  <dc:description/>
  <cp:lastModifiedBy>Watkins, Jeannette M.</cp:lastModifiedBy>
  <cp:revision>1</cp:revision>
  <dcterms:created xsi:type="dcterms:W3CDTF">2025-01-13T19:18:00Z</dcterms:created>
  <dcterms:modified xsi:type="dcterms:W3CDTF">2025-01-13T19:20:00Z</dcterms:modified>
</cp:coreProperties>
</file>